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spacing w:after="80"/>
        <w:jc w:val="center"/>
      </w:pPr>
      <w:r>
        <w:rPr>
          <w:b/>
          <w:bCs/>
          <w:color w:val="cc0000"/>
          <w:sz w:val="20"/>
          <w:szCs w:val="20"/>
        </w:rPr>
        <w:t xml:space="preserve">BOZZA</w:t>
      </w:r>
    </w:p>
    <w:p>
      <w:pPr>
        <w:spacing w:after="80"/>
        <w:jc w:val="center"/>
      </w:pPr>
      <w:r>
        <w:rPr>
          <w:b/>
          <w:bCs/>
          <w:sz w:val="32"/>
          <w:szCs w:val="32"/>
        </w:rPr>
        <w:t xml:space="preserve">ACCORDO DI TRANSAZIONE</w:t>
      </w:r>
    </w:p>
    <w:p>
      <w:pPr>
        <w:spacing w:after="80"/>
        <w:jc w:val="center"/>
      </w:pPr>
      <w:r>
        <w:rPr>
          <w:i/>
          <w:iCs/>
        </w:rPr>
        <w:t xml:space="preserve">ai sensi e per gli effetti dell'art. 1965 c.c.</w:t>
      </w:r>
    </w:p>
    <w:p>
      <w:pPr>
        <w:spacing w:after="80"/>
        <w:jc w:val="center"/>
      </w:pPr>
      <w:r>
        <w:t xml:space="preserve">Sentenza n. 824/2021 – Tribunale di Frosinone (R.G. 804/2016)</w:t>
      </w:r>
    </w:p>
    <w:p>
      <w:pPr>
        <w:spacing w:before="120"/>
      </w:pPr>
    </w:p>
    <w:p>
      <w:pPr>
        <w:spacing w:after="180" w:before="300"/>
      </w:pPr>
      <w:r>
        <w:rPr>
          <w:b/>
          <w:bCs/>
          <w:color w:val="2e5496"/>
          <w:sz w:val="26"/>
          <w:szCs w:val="26"/>
        </w:rPr>
        <w:t xml:space="preserve">PARTI</w:t>
      </w:r>
    </w:p>
    <w:p>
      <w:pPr>
        <w:spacing w:after="60" w:before="120"/>
      </w:pPr>
      <w:r>
        <w:rPr>
          <w:b/>
          <w:bCs/>
        </w:rPr>
        <w:t xml:space="preserve">PROVINCIA DI FROSINONE</w:t>
      </w:r>
    </w:p>
    <w:p>
      <w:pPr>
        <w:spacing w:after="120" w:before="120"/>
        <w:contextualSpacing w:val="true"/>
        <w:jc w:val="both"/>
      </w:pPr>
      <w:r>
        <w:t xml:space="preserve">Settore Finanze e Tributi – Servizio Legale, con sede legale in P.za Gramsci n. 13, 03100 Frosinone, C.F. 01633570609, PEC: protocollo@pec.provincia.fr.it, rappresentata dal Dirigente del Settore Finanze e Tributi Dott. Andrea Di Sora e </w:t>
      </w:r>
      <w:r>
        <w:t xml:space="preserve">dal </w:t>
      </w:r>
      <w:r>
        <w:t xml:space="preserve">Dirigente del S</w:t>
      </w:r>
      <w:r>
        <w:t xml:space="preserve">ervizio Legale Avv. </w:t>
      </w:r>
      <w:r>
        <w:t xml:space="preserve">D’Aguanno Annalisa</w:t>
      </w:r>
      <w:r>
        <w:t xml:space="preserve">,</w:t>
      </w:r>
    </w:p>
    <w:p>
      <w:pPr>
        <w:spacing w:after="120" w:before="120"/>
        <w:contextualSpacing w:val="true"/>
        <w:jc w:val="both"/>
      </w:pPr>
      <w:r>
        <w:t xml:space="preserve">di seguito denominata "la Provincia";</w:t>
      </w:r>
    </w:p>
    <w:p>
      <w:pPr>
        <w:spacing w:before="80"/>
      </w:pPr>
    </w:p>
    <w:p>
      <w:pPr>
        <w:spacing w:after="60" w:before="120"/>
      </w:pPr>
      <w:r>
        <w:t xml:space="preserve">e</w:t>
      </w:r>
    </w:p>
    <w:p>
      <w:pPr>
        <w:spacing w:before="80"/>
      </w:pPr>
    </w:p>
    <w:p>
      <w:pPr>
        <w:spacing w:after="120" w:before="120"/>
        <w:contextualSpacing w:val="true"/>
        <w:jc w:val="both"/>
      </w:pPr>
      <w:r>
        <w:t xml:space="preserve">Collextion</w:t>
      </w:r>
      <w:r>
        <w:t xml:space="preserve"> Services S.r.l. (il Procuratore), in virtù dei poteri attribuiti giusta procura autenticata nella firma dal Notaio Avv. Eugenia Caricato, registrata a Milano in data 21/10/2025 al n. 83331 serie 1T, per conto della Polluce SPE S.r.l., una società a responsabilità limitata costituita in Italia ai sensi della Legge sulla Cartolarizzazione, con sede legale in Via San Prospero 4, 20121 Milano (MI), Italia, codice fiscale e iscrizione al Registro delle Imprese di Milano numero 10439520965, nonché iscritto al n. 35501.6 nell’elenco delle società veicolo di cartolarizzazione tenuto dalla Banca d’Italia ai sensi del Provvedimento del 7 giugno 2017 (in forza dal 30 giugno 2017), avente a oggetto esclusivo la realizzazione di una o più operazioni di cartolarizzazione di crediti (la “SPE”);</w:t>
      </w:r>
    </w:p>
    <w:p>
      <w:pPr>
        <w:spacing w:before="80"/>
      </w:pPr>
    </w:p>
    <w:p>
      <w:pPr>
        <w:spacing w:after="120" w:before="120"/>
        <w:jc w:val="both"/>
      </w:pPr>
      <w:r>
        <w:t xml:space="preserve">di seguito congiuntamente denominate "le Parti".</w:t>
      </w:r>
    </w:p>
    <w:p>
      <w:pPr>
        <w:spacing w:before="120"/>
      </w:pPr>
    </w:p>
    <w:p>
      <w:pPr>
        <w:spacing w:after="180" w:before="300"/>
      </w:pPr>
      <w:r>
        <w:rPr>
          <w:b/>
          <w:bCs/>
          <w:color w:val="2e5496"/>
          <w:sz w:val="26"/>
          <w:szCs w:val="26"/>
        </w:rPr>
        <w:t xml:space="preserve">PREMESSO CHE</w:t>
      </w:r>
    </w:p>
    <w:p>
      <w:pPr>
        <w:pStyle w:val="Paragrafoelenco"/>
        <w:numPr>
          <w:ilvl w:val="0"/>
          <w:numId w:val="2"/>
        </w:numPr>
        <w:spacing w:after="80" w:before="120"/>
        <w:jc w:val="both"/>
      </w:pPr>
      <w:r>
        <w:t xml:space="preserve">con Sentenza n. 824/2021 del Tribunale di Frosinone (R.G. 804/2016), la Provincia di Frosinone è stata condannata al pagamento di determinate somme in favore del cessionario del credito, oggi identificato in Polluce SPE S.r.l., quale mandante di </w:t>
      </w:r>
      <w:r>
        <w:t xml:space="preserve">Collextion</w:t>
      </w:r>
      <w:r>
        <w:t xml:space="preserve"> Services S.r.l.;</w:t>
      </w:r>
    </w:p>
    <w:p>
      <w:pPr>
        <w:pStyle w:val="Paragrafoelenco"/>
        <w:numPr>
          <w:ilvl w:val="0"/>
          <w:numId w:val="2"/>
        </w:numPr>
        <w:spacing w:after="80" w:before="80"/>
        <w:jc w:val="both"/>
      </w:pPr>
      <w:r>
        <w:t xml:space="preserve">con atto di precetto notificato il 9 aprile 2026 (Prot. n. 12004/2026), Polluce ha intimato alla Provincia il pagamento della somma complessiva di € 130.502,26, di cui € 52.114,63 a titolo di sorte capitale, € 70.471,90 a titolo di interessi, € 7.915,73 a titolo di spese legali, oltre ad ulteriori accessori;</w:t>
      </w:r>
    </w:p>
    <w:p>
      <w:pPr>
        <w:pStyle w:val="Paragrafoelenco"/>
        <w:numPr>
          <w:ilvl w:val="0"/>
          <w:numId w:val="2"/>
        </w:numPr>
        <w:spacing w:after="80" w:before="80"/>
        <w:jc w:val="both"/>
      </w:pPr>
      <w:r>
        <w:t xml:space="preserve">la Provincia, quale ente di area vasta ai sensi della L. 7 aprile 2014, n. 56, versa in una condizione </w:t>
      </w:r>
      <w:r>
        <w:t xml:space="preserve">strutturale di particolare fragilità finanziaria, soggetta ai vincoli del Patto di Stabilità Interno, alle regole di pareggio di bilancio ex L. n. 243/2012 e agli obblighi di accantonamento al Fondo Crediti di Dubbia Esigibilità (FCDE);</w:t>
      </w:r>
    </w:p>
    <w:p>
      <w:pPr>
        <w:pStyle w:val="Paragrafoelenco"/>
        <w:numPr>
          <w:ilvl w:val="0"/>
          <w:numId w:val="2"/>
        </w:numPr>
        <w:spacing w:after="80" w:before="80"/>
        <w:jc w:val="both"/>
      </w:pPr>
      <w:r>
        <w:t xml:space="preserve">le Parti, al fine di evitare l'alea, i costi e i tempi di un giudizio di opposizione al precetto, hanno intrapreso trattative che hanno condotto alla definizione degli importi di cui al presente accordo, con Polluce che ha accettato di ridurre</w:t>
      </w:r>
      <w:r>
        <w:t xml:space="preserve"> al 50%</w:t>
      </w:r>
      <w:r>
        <w:t xml:space="preserve"> gli interessi </w:t>
      </w:r>
      <w:r>
        <w:t xml:space="preserve">calcolati </w:t>
      </w:r>
      <w:r>
        <w:t xml:space="preserve">in data </w:t>
      </w:r>
      <w:r>
        <w:t xml:space="preserve">03/04/2026 </w:t>
      </w:r>
      <w:r>
        <w:t xml:space="preserve">al tasso 231</w:t>
      </w:r>
      <w:r>
        <w:t xml:space="preserve"> (</w:t>
      </w:r>
      <w:r>
        <w:rPr>
          <w:b/>
          <w:bCs/>
        </w:rPr>
        <w:t xml:space="preserve">D.Lgs.</w:t>
      </w:r>
      <w:r>
        <w:rPr>
          <w:b/>
          <w:bCs/>
        </w:rPr>
        <w:t xml:space="preserve"> 231/2002)</w:t>
      </w:r>
      <w:r>
        <w:t xml:space="preserve"> </w:t>
      </w:r>
      <w:r>
        <w:t xml:space="preserve">e la Provincia che ha accettato tale riduzione aderendo integralmente alla proposta;</w:t>
      </w:r>
    </w:p>
    <w:p>
      <w:pPr>
        <w:pStyle w:val="Paragrafoelenco"/>
        <w:numPr>
          <w:ilvl w:val="0"/>
          <w:numId w:val="2"/>
        </w:numPr>
        <w:spacing w:after="120" w:before="80"/>
      </w:pPr>
      <w:r>
        <w:t xml:space="preserve">le Parti intendono definire bonariamente e definitivamente la presente vertenza, ai sensi e per gli effetti dell'art. 1965 c.c., nei termini di seguito indicati.</w:t>
      </w:r>
    </w:p>
    <w:p>
      <w:pPr>
        <w:spacing w:before="80"/>
      </w:pPr>
    </w:p>
    <w:p>
      <w:pPr>
        <w:spacing w:after="120" w:before="120"/>
        <w:jc w:val="both"/>
      </w:pPr>
      <w:r>
        <w:rPr>
          <w:b/>
          <w:bCs/>
        </w:rPr>
        <w:t xml:space="preserve">TUTTO CIÒ PREMESSO, le Parti convengono e stipulano quanto segue:</w:t>
      </w:r>
    </w:p>
    <w:p>
      <w:pPr>
        <w:spacing w:before="120"/>
      </w:pPr>
    </w:p>
    <w:p>
      <w:pPr>
        <w:spacing w:after="180" w:before="300"/>
      </w:pPr>
      <w:r>
        <w:rPr>
          <w:b/>
          <w:bCs/>
          <w:color w:val="2e5496"/>
          <w:sz w:val="26"/>
          <w:szCs w:val="26"/>
        </w:rPr>
        <w:t xml:space="preserve">Art. 1 – OGGETTO</w:t>
      </w:r>
    </w:p>
    <w:p>
      <w:pPr>
        <w:spacing w:after="120" w:before="120"/>
        <w:jc w:val="both"/>
      </w:pPr>
      <w:r>
        <w:t xml:space="preserve">Le Parti, nel quadro delle reciproche concessioni di cui all'art. 1965 c.c., definiscono bonariamente e con effetto definitivo la vertenza originata dalla Sentenza n. 824/2021 del Tribunale di Frosinone (R.G. 804/2016) e dall'atto di precetto notificato il 09.04.2026, nei termini stabiliti dal presente accordo.</w:t>
      </w:r>
    </w:p>
    <w:p>
      <w:pPr>
        <w:spacing w:after="180" w:before="300"/>
      </w:pPr>
      <w:r>
        <w:rPr>
          <w:b/>
          <w:bCs/>
          <w:color w:val="2e5496"/>
          <w:sz w:val="26"/>
          <w:szCs w:val="26"/>
        </w:rPr>
        <w:t xml:space="preserve">Art. 2 – IMPORTI CONCORDATI</w:t>
      </w:r>
    </w:p>
    <w:p>
      <w:pPr>
        <w:spacing w:after="120" w:before="120"/>
        <w:jc w:val="both"/>
      </w:pPr>
      <w:r>
        <w:t xml:space="preserve">Le Parti concordano che il debito complessivo della Provincia nei confronti di Polluce, a definizione integrale e definitiva di ogni pretesa derivante dalla sentenza e dal precetto di cui in premessa, è determinato nelle seguenti voci:</w:t>
      </w:r>
    </w:p>
    <w:p>
      <w:pPr>
        <w:spacing w:before="80"/>
      </w:pPr>
    </w:p>
    <w:tbl>
      <w:tblPr>
        <w:tblW w:w="9638"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29"/>
        <w:gridCol w:w="2409"/>
      </w:tblGrid>
      <w:tr>
        <w:trPr>
          <w:tblHeader/>
        </w:trPr>
        <w:tc>
          <w:tcPr>
            <w:tcW w:w="7229" w:type="dxa"/>
            <w:tcBorders>
              <w:top w:val="single" w:color="2e5496" w:sz="1" w:space="0"/>
              <w:left w:val="single" w:color="2e5496" w:sz="1" w:space="0"/>
              <w:bottom w:val="single" w:color="2e5496" w:sz="1" w:space="0"/>
              <w:right w:val="single" w:color="2e5496" w:sz="1" w:space="0"/>
            </w:tcBorders>
            <w:shd w:val="clear" w:color="auto" w:fill="2e5496"/>
            <w:tcMar>
              <w:left w:w="150" w:type="dxa"/>
              <w:top w:w="100" w:type="dxa"/>
              <w:right w:w="150" w:type="dxa"/>
              <w:bottom w:w="100" w:type="dxa"/>
            </w:tcMar>
            <w:vAlign w:val="center"/>
          </w:tcPr>
          <w:p>
            <w:r>
              <w:rPr>
                <w:b/>
                <w:bCs/>
                <w:color w:val="ffffff"/>
                <w:sz w:val="20"/>
                <w:szCs w:val="20"/>
              </w:rPr>
              <w:t xml:space="preserve">Voce</w:t>
            </w:r>
          </w:p>
        </w:tc>
        <w:tc>
          <w:tcPr>
            <w:tcW w:w="2409" w:type="dxa"/>
            <w:tcBorders>
              <w:top w:val="single" w:color="2e5496" w:sz="1" w:space="0"/>
              <w:left w:val="single" w:color="2e5496" w:sz="1" w:space="0"/>
              <w:bottom w:val="single" w:color="2e5496" w:sz="1" w:space="0"/>
              <w:right w:val="single" w:color="2e5496" w:sz="1" w:space="0"/>
            </w:tcBorders>
            <w:shd w:val="clear" w:color="auto" w:fill="2e5496"/>
            <w:tcMar>
              <w:left w:w="150" w:type="dxa"/>
              <w:top w:w="100" w:type="dxa"/>
              <w:right w:w="150" w:type="dxa"/>
              <w:bottom w:w="100" w:type="dxa"/>
            </w:tcMar>
            <w:vAlign w:val="center"/>
          </w:tcPr>
          <w:p>
            <w:r>
              <w:rPr>
                <w:b/>
                <w:bCs/>
                <w:color w:val="ffffff"/>
                <w:sz w:val="20"/>
                <w:szCs w:val="20"/>
              </w:rPr>
              <w:t xml:space="preserve">Importo</w:t>
            </w:r>
          </w:p>
        </w:tc>
      </w:tr>
      <w:tr>
        <w:tc>
          <w:tcPr>
            <w:tcW w:w="722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r>
              <w:rPr>
                <w:color w:val="000000"/>
                <w:sz w:val="20"/>
                <w:szCs w:val="20"/>
              </w:rPr>
              <w:t xml:space="preserve">Sorte capitale (100% – come da sentenza e precetto)</w:t>
            </w:r>
          </w:p>
        </w:tc>
        <w:tc>
          <w:tcPr>
            <w:tcW w:w="240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pPr>
              <w:jc w:val="right"/>
            </w:pPr>
            <w:r>
              <w:rPr>
                <w:color w:val="000000"/>
                <w:sz w:val="20"/>
                <w:szCs w:val="20"/>
              </w:rPr>
              <w:t xml:space="preserve">€ 52.114,63</w:t>
            </w:r>
          </w:p>
        </w:tc>
      </w:tr>
      <w:tr>
        <w:tc>
          <w:tcPr>
            <w:tcW w:w="722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r>
              <w:rPr>
                <w:color w:val="000000"/>
                <w:sz w:val="20"/>
                <w:szCs w:val="20"/>
              </w:rPr>
              <w:t xml:space="preserve">Spese legali (100% – come da precetto, imponibile + IVA)</w:t>
            </w:r>
          </w:p>
        </w:tc>
        <w:tc>
          <w:tcPr>
            <w:tcW w:w="240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pPr>
              <w:jc w:val="right"/>
            </w:pPr>
            <w:r>
              <w:rPr>
                <w:color w:val="000000"/>
                <w:sz w:val="20"/>
                <w:szCs w:val="20"/>
              </w:rPr>
              <w:t xml:space="preserve">€ 7.915,73</w:t>
            </w:r>
          </w:p>
        </w:tc>
      </w:tr>
      <w:tr>
        <w:tc>
          <w:tcPr>
            <w:tcW w:w="722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r>
              <w:rPr>
                <w:color w:val="000000"/>
                <w:sz w:val="20"/>
                <w:szCs w:val="20"/>
              </w:rPr>
              <w:t xml:space="preserve">Imposta di registrazione del titolo esecutivo</w:t>
            </w:r>
          </w:p>
        </w:tc>
        <w:tc>
          <w:tcPr>
            <w:tcW w:w="240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pPr>
              <w:jc w:val="right"/>
            </w:pPr>
            <w:r>
              <w:rPr>
                <w:color w:val="000000"/>
                <w:sz w:val="20"/>
                <w:szCs w:val="20"/>
              </w:rPr>
              <w:t xml:space="preserve">€ 817,50</w:t>
            </w:r>
          </w:p>
        </w:tc>
      </w:tr>
      <w:tr>
        <w:tc>
          <w:tcPr>
            <w:tcW w:w="722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r>
              <w:rPr>
                <w:color w:val="000000"/>
                <w:sz w:val="20"/>
                <w:szCs w:val="20"/>
              </w:rPr>
              <w:t xml:space="preserve">Interessi (50% del tasso 231 su € 70.471,90)</w:t>
            </w:r>
          </w:p>
        </w:tc>
        <w:tc>
          <w:tcPr>
            <w:tcW w:w="2409" w:type="dxa"/>
            <w:tcBorders>
              <w:top w:val="single" w:color="cccccc" w:sz="1" w:space="0"/>
              <w:left w:val="single" w:color="cccccc" w:sz="1" w:space="0"/>
              <w:bottom w:val="single" w:color="cccccc" w:sz="1" w:space="0"/>
              <w:right w:val="single" w:color="cccccc" w:sz="1" w:space="0"/>
            </w:tcBorders>
            <w:shd w:val="clear" w:color="auto" w:fill="ffffff"/>
            <w:tcMar>
              <w:left w:w="150" w:type="dxa"/>
              <w:top w:w="100" w:type="dxa"/>
              <w:right w:w="150" w:type="dxa"/>
              <w:bottom w:w="100" w:type="dxa"/>
            </w:tcMar>
            <w:vAlign w:val="center"/>
          </w:tcPr>
          <w:p>
            <w:pPr>
              <w:jc w:val="right"/>
            </w:pPr>
            <w:r>
              <w:rPr>
                <w:color w:val="000000"/>
                <w:sz w:val="20"/>
                <w:szCs w:val="20"/>
              </w:rPr>
              <w:t xml:space="preserve">€ 35.235,95</w:t>
            </w:r>
          </w:p>
        </w:tc>
      </w:tr>
      <w:tr>
        <w:tc>
          <w:tcPr>
            <w:tcW w:w="7229" w:type="dxa"/>
            <w:tcBorders>
              <w:top w:val="single" w:color="cccccc" w:sz="1" w:space="0"/>
              <w:left w:val="single" w:color="cccccc" w:sz="1" w:space="0"/>
              <w:bottom w:val="single" w:color="cccccc" w:sz="1" w:space="0"/>
              <w:right w:val="single" w:color="cccccc" w:sz="1" w:space="0"/>
            </w:tcBorders>
            <w:shd w:val="clear" w:color="auto" w:fill="eef2f8"/>
            <w:tcMar>
              <w:left w:w="150" w:type="dxa"/>
              <w:top w:w="100" w:type="dxa"/>
              <w:right w:w="150" w:type="dxa"/>
              <w:bottom w:w="100" w:type="dxa"/>
            </w:tcMar>
            <w:vAlign w:val="center"/>
          </w:tcPr>
          <w:p>
            <w:r>
              <w:rPr>
                <w:b/>
                <w:bCs/>
                <w:color w:val="000000"/>
                <w:sz w:val="20"/>
                <w:szCs w:val="20"/>
              </w:rPr>
              <w:t xml:space="preserve">TOTALE</w:t>
            </w:r>
          </w:p>
        </w:tc>
        <w:tc>
          <w:tcPr>
            <w:tcW w:w="2409" w:type="dxa"/>
            <w:tcBorders>
              <w:top w:val="single" w:color="cccccc" w:sz="1" w:space="0"/>
              <w:left w:val="single" w:color="cccccc" w:sz="1" w:space="0"/>
              <w:bottom w:val="single" w:color="cccccc" w:sz="1" w:space="0"/>
              <w:right w:val="single" w:color="cccccc" w:sz="1" w:space="0"/>
            </w:tcBorders>
            <w:shd w:val="clear" w:color="auto" w:fill="eef2f8"/>
            <w:tcMar>
              <w:left w:w="150" w:type="dxa"/>
              <w:top w:w="100" w:type="dxa"/>
              <w:right w:w="150" w:type="dxa"/>
              <w:bottom w:w="100" w:type="dxa"/>
            </w:tcMar>
            <w:vAlign w:val="center"/>
          </w:tcPr>
          <w:p>
            <w:pPr>
              <w:jc w:val="right"/>
            </w:pPr>
            <w:r>
              <w:rPr>
                <w:b/>
                <w:bCs/>
                <w:color w:val="000000"/>
                <w:sz w:val="20"/>
                <w:szCs w:val="20"/>
              </w:rPr>
              <w:t xml:space="preserve">€ 96.083,81</w:t>
            </w:r>
          </w:p>
        </w:tc>
      </w:tr>
    </w:tbl>
    <w:p>
      <w:pPr>
        <w:spacing w:before="160"/>
      </w:pPr>
    </w:p>
    <w:p>
      <w:pPr>
        <w:spacing w:after="120" w:before="120"/>
        <w:jc w:val="both"/>
      </w:pPr>
      <w:r>
        <w:t xml:space="preserve">Polluce, con la sottoscrizione del presente accordo, rinuncia espressamente a qualsiasi ulteriore pretesa a titolo di interessi, accessori, spese forfettarie, CNA, IVA e ogni altra voce indicata nell'atto di precetto e non compresa nella tabella di cui sopra.</w:t>
      </w:r>
    </w:p>
    <w:p>
      <w:pPr>
        <w:spacing w:after="180" w:before="300"/>
      </w:pPr>
      <w:r>
        <w:rPr>
          <w:b/>
          <w:bCs/>
          <w:color w:val="2e5496"/>
          <w:sz w:val="26"/>
          <w:szCs w:val="26"/>
        </w:rPr>
        <w:t xml:space="preserve">Art. 3 – PIANO DI PAGAMENTO</w:t>
      </w:r>
    </w:p>
    <w:p>
      <w:pPr>
        <w:spacing w:after="120" w:before="120"/>
        <w:jc w:val="both"/>
      </w:pPr>
      <w:r>
        <w:t xml:space="preserve">La Provincia si impegna a corrispondere a Polluce le somme di cui all'art. 2 secondo il seguente piano di pagamento:</w:t>
      </w:r>
    </w:p>
    <w:p>
      <w:pPr>
        <w:spacing w:before="80"/>
      </w:pPr>
    </w:p>
    <w:tbl>
      <w:tblPr>
        <w:tblInd w:w="-143" w:type="dxa"/>
        <w:tblW w:w="9955"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2"/>
        <w:gridCol w:w="1602"/>
        <w:gridCol w:w="1526"/>
        <w:gridCol w:w="4427"/>
        <w:gridCol w:w="1988"/>
      </w:tblGrid>
      <w:tr>
        <w:trPr>
          <w:tblHeader/>
        </w:trPr>
        <w:tc>
          <w:tcPr>
            <w:tcW w:w="412" w:type="dxa"/>
            <w:tcBorders>
              <w:top w:val="single" w:color="auto" w:sz="4" w:space="0"/>
              <w:left w:val="single" w:color="auto" w:sz="4" w:space="0"/>
              <w:bottom w:val="single" w:color="auto" w:sz="4" w:space="0"/>
              <w:right w:val="single" w:color="a5a5a5" w:themeColor="accent3" w:sz="4" w:space="0"/>
            </w:tcBorders>
            <w:shd w:val="clear" w:color="auto" w:fill="2e5496"/>
            <w:tcMar>
              <w:left w:w="150" w:type="dxa"/>
              <w:top w:w="100" w:type="dxa"/>
              <w:right w:w="150" w:type="dxa"/>
              <w:bottom w:w="100" w:type="dxa"/>
            </w:tcMar>
            <w:vAlign w:val="center"/>
          </w:tcPr>
          <w:p>
            <w:pPr>
              <w:jc w:val="center"/>
            </w:pPr>
            <w:r>
              <w:rPr>
                <w:b/>
                <w:bCs/>
                <w:color w:val="ffffff"/>
                <w:sz w:val="20"/>
                <w:szCs w:val="20"/>
              </w:rPr>
              <w:t xml:space="preserve">#</w:t>
            </w:r>
          </w:p>
        </w:tc>
        <w:tc>
          <w:tcPr>
            <w:tcW w:w="1602" w:type="dxa"/>
            <w:tcBorders>
              <w:top w:val="single" w:color="auto" w:sz="4" w:space="0"/>
              <w:left w:val="single" w:color="a5a5a5" w:themeColor="accent3" w:sz="4" w:space="0"/>
              <w:bottom w:val="single" w:color="auto" w:sz="4" w:space="0"/>
              <w:right w:val="single" w:color="2e5496" w:sz="1" w:space="0"/>
            </w:tcBorders>
            <w:shd w:val="clear" w:color="auto" w:fill="2e5496"/>
            <w:tcMar>
              <w:left w:w="150" w:type="dxa"/>
              <w:top w:w="100" w:type="dxa"/>
              <w:right w:w="150" w:type="dxa"/>
              <w:bottom w:w="100" w:type="dxa"/>
            </w:tcMar>
            <w:vAlign w:val="center"/>
          </w:tcPr>
          <w:p>
            <w:pPr>
              <w:jc w:val="center"/>
            </w:pPr>
            <w:r>
              <w:rPr>
                <w:b/>
                <w:bCs/>
                <w:color w:val="ffffff"/>
                <w:sz w:val="20"/>
                <w:szCs w:val="20"/>
              </w:rPr>
              <w:t xml:space="preserve">Descrizione</w:t>
            </w:r>
          </w:p>
        </w:tc>
        <w:tc>
          <w:tcPr>
            <w:tcW w:w="1526" w:type="dxa"/>
            <w:tcBorders>
              <w:top w:val="single" w:color="auto" w:sz="4" w:space="0"/>
              <w:left w:val="single" w:color="2e5496" w:sz="1" w:space="0"/>
              <w:bottom w:val="single" w:color="auto" w:sz="4" w:space="0"/>
              <w:right w:val="single" w:color="2e5496" w:sz="1" w:space="0"/>
            </w:tcBorders>
            <w:shd w:val="clear" w:color="auto" w:fill="2e5496"/>
            <w:tcMar>
              <w:left w:w="150" w:type="dxa"/>
              <w:top w:w="100" w:type="dxa"/>
              <w:right w:w="150" w:type="dxa"/>
              <w:bottom w:w="100" w:type="dxa"/>
            </w:tcMar>
            <w:vAlign w:val="center"/>
          </w:tcPr>
          <w:p>
            <w:pPr>
              <w:jc w:val="center"/>
            </w:pPr>
            <w:r>
              <w:rPr>
                <w:b/>
                <w:bCs/>
                <w:color w:val="ffffff"/>
                <w:sz w:val="20"/>
                <w:szCs w:val="20"/>
              </w:rPr>
              <w:t xml:space="preserve">Importo</w:t>
            </w:r>
          </w:p>
        </w:tc>
        <w:tc>
          <w:tcPr>
            <w:tcW w:w="4427" w:type="dxa"/>
            <w:tcBorders>
              <w:top w:val="single" w:color="auto" w:sz="4" w:space="0"/>
              <w:left w:val="single" w:color="2e5496" w:sz="1" w:space="0"/>
              <w:bottom w:val="single" w:color="auto" w:sz="4" w:space="0"/>
              <w:right w:val="single" w:color="2e5496" w:sz="1" w:space="0"/>
            </w:tcBorders>
            <w:shd w:val="clear" w:color="auto" w:fill="2e5496"/>
          </w:tcPr>
          <w:p>
            <w:pPr>
              <w:jc w:val="center"/>
              <w:rPr>
                <w:b/>
                <w:bCs/>
                <w:color w:val="ffffff"/>
                <w:sz w:val="20"/>
                <w:szCs w:val="20"/>
              </w:rPr>
            </w:pPr>
            <w:r>
              <w:rPr>
                <w:b/>
                <w:bCs/>
                <w:color w:val="ffffff"/>
                <w:sz w:val="20"/>
                <w:szCs w:val="20"/>
              </w:rPr>
              <w:t xml:space="preserve">IBAN</w:t>
            </w:r>
          </w:p>
        </w:tc>
        <w:tc>
          <w:tcPr>
            <w:tcW w:w="1988" w:type="dxa"/>
            <w:tcBorders>
              <w:top w:val="single" w:color="auto" w:sz="4" w:space="0"/>
              <w:left w:val="single" w:color="2e5496" w:sz="1" w:space="0"/>
              <w:bottom w:val="single" w:color="auto" w:sz="4" w:space="0"/>
              <w:right w:val="single" w:color="auto" w:sz="4" w:space="0"/>
            </w:tcBorders>
            <w:shd w:val="clear" w:color="auto" w:fill="2e5496"/>
            <w:tcMar>
              <w:left w:w="150" w:type="dxa"/>
              <w:top w:w="100" w:type="dxa"/>
              <w:right w:w="150" w:type="dxa"/>
              <w:bottom w:w="100" w:type="dxa"/>
            </w:tcMar>
            <w:vAlign w:val="center"/>
          </w:tcPr>
          <w:p>
            <w:pPr>
              <w:jc w:val="center"/>
            </w:pPr>
            <w:r>
              <w:rPr>
                <w:b/>
                <w:bCs/>
                <w:color w:val="ffffff"/>
                <w:sz w:val="20"/>
                <w:szCs w:val="20"/>
              </w:rPr>
              <w:t xml:space="preserve">Scadenza</w:t>
            </w:r>
          </w:p>
        </w:tc>
      </w:tr>
      <w:tr>
        <w:tc>
          <w:tcPr>
            <w:tcW w:w="412" w:type="dxa"/>
            <w:vMerge w:val="restart"/>
            <w:tcBorders>
              <w:top w:val="single" w:color="auto" w:sz="4" w:space="0"/>
              <w:left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1</w:t>
            </w:r>
          </w:p>
        </w:tc>
        <w:tc>
          <w:tcPr>
            <w:tcW w:w="1602"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Sorte capitale + imposta di registro</w:t>
            </w:r>
          </w:p>
        </w:tc>
        <w:tc>
          <w:tcPr>
            <w:tcW w:w="1526"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jc w:val="right"/>
              <w:rPr>
                <w:sz w:val="20"/>
                <w:szCs w:val="20"/>
              </w:rPr>
            </w:pPr>
            <w:r>
              <w:rPr>
                <w:color w:val="000000"/>
                <w:sz w:val="20"/>
                <w:szCs w:val="20"/>
              </w:rPr>
              <w:t xml:space="preserve">€ 52.932,13</w:t>
            </w:r>
          </w:p>
        </w:tc>
        <w:tc>
          <w:tcPr>
            <w:tcW w:w="4427" w:type="dxa"/>
            <w:tcBorders>
              <w:top w:val="single" w:color="auto" w:sz="4" w:space="0"/>
              <w:left w:val="single" w:color="auto" w:sz="4" w:space="0"/>
              <w:bottom w:val="single" w:color="auto" w:sz="4" w:space="0"/>
              <w:right w:val="single" w:color="auto" w:sz="4" w:space="0"/>
            </w:tcBorders>
            <w:shd w:val="clear" w:color="auto" w:fill="ffffff"/>
            <w:vAlign w:val="center"/>
          </w:tcPr>
          <w:p>
            <w:pPr>
              <w:rPr>
                <w:b/>
                <w:bCs/>
                <w:color w:val="000000"/>
              </w:rPr>
            </w:pPr>
            <w:r>
              <w:rPr>
                <w:b/>
                <w:bCs/>
                <w:color w:val="000000"/>
              </w:rPr>
              <w:t xml:space="preserve">IT81 E051 1611 2000 0000 0058 873</w:t>
            </w:r>
          </w:p>
          <w:p>
            <w:pPr>
              <w:rPr>
                <w:color w:val="000000"/>
              </w:rPr>
            </w:pPr>
            <w:r>
              <w:rPr>
                <w:color w:val="000000"/>
              </w:rPr>
              <w:t xml:space="preserve">intestato a POLLUCE SPE SRL</w:t>
            </w:r>
          </w:p>
        </w:tc>
        <w:tc>
          <w:tcPr>
            <w:tcW w:w="1988"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Entro 15 giorni dalla sottoscrizione del presente accordo</w:t>
            </w:r>
          </w:p>
        </w:tc>
      </w:tr>
      <w:tr>
        <w:tc>
          <w:tcPr>
            <w:tcW w:w="412" w:type="dxa"/>
            <w:vMerge w:val="continue"/>
            <w:tcBorders>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color w:val="000000"/>
                <w:sz w:val="18"/>
                <w:szCs w:val="18"/>
              </w:rPr>
            </w:pPr>
          </w:p>
        </w:tc>
        <w:tc>
          <w:tcPr>
            <w:tcW w:w="1602"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color w:val="000000"/>
                <w:sz w:val="18"/>
                <w:szCs w:val="18"/>
              </w:rPr>
            </w:pPr>
            <w:r>
              <w:rPr>
                <w:color w:val="000000"/>
                <w:sz w:val="18"/>
                <w:szCs w:val="18"/>
              </w:rPr>
              <w:t xml:space="preserve">S</w:t>
            </w:r>
            <w:r>
              <w:rPr>
                <w:color w:val="000000"/>
                <w:sz w:val="18"/>
                <w:szCs w:val="18"/>
              </w:rPr>
              <w:t xml:space="preserve">pese legali</w:t>
            </w:r>
          </w:p>
        </w:tc>
        <w:tc>
          <w:tcPr>
            <w:tcW w:w="1526"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jc w:val="right"/>
              <w:rPr>
                <w:color w:val="000000"/>
                <w:sz w:val="20"/>
                <w:szCs w:val="20"/>
              </w:rPr>
            </w:pPr>
            <w:r>
              <w:rPr>
                <w:color w:val="000000"/>
                <w:sz w:val="20"/>
                <w:szCs w:val="20"/>
              </w:rPr>
              <w:t xml:space="preserve">€ 7.915,73</w:t>
            </w:r>
          </w:p>
        </w:tc>
        <w:tc>
          <w:tcPr>
            <w:tcW w:w="4427" w:type="dxa"/>
            <w:tcBorders>
              <w:top w:val="single" w:color="auto" w:sz="4" w:space="0"/>
              <w:left w:val="single" w:color="auto" w:sz="4" w:space="0"/>
              <w:bottom w:val="single" w:color="auto" w:sz="4" w:space="0"/>
              <w:right w:val="single" w:color="auto" w:sz="4" w:space="0"/>
            </w:tcBorders>
            <w:shd w:val="clear" w:color="auto" w:fill="ffffff"/>
            <w:vAlign w:val="center"/>
          </w:tcPr>
          <w:p>
            <w:pPr>
              <w:rPr>
                <w:b/>
                <w:bCs/>
                <w:color w:val="000000"/>
              </w:rPr>
            </w:pPr>
            <w:r>
              <w:rPr>
                <w:b/>
                <w:bCs/>
                <w:color w:val="000000"/>
              </w:rPr>
              <w:t xml:space="preserve">IT77 H030 6905 2381 0000 0002 228</w:t>
            </w:r>
          </w:p>
          <w:p>
            <w:pPr>
              <w:rPr>
                <w:color w:val="000000"/>
              </w:rPr>
            </w:pPr>
            <w:r>
              <w:rPr>
                <w:color w:val="000000"/>
              </w:rPr>
              <w:t xml:space="preserve">intestato a COLLEXTION LEGAL SOCIETA’ TRA AVVOCATI </w:t>
            </w:r>
            <w:r>
              <w:rPr>
                <w:color w:val="000000"/>
              </w:rPr>
              <w:t xml:space="preserve">S.</w:t>
            </w:r>
            <w:r>
              <w:rPr>
                <w:color w:val="000000"/>
              </w:rPr>
              <w:t xml:space="preserve">r.L</w:t>
            </w:r>
          </w:p>
        </w:tc>
        <w:tc>
          <w:tcPr>
            <w:tcW w:w="1988"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color w:val="000000"/>
                <w:sz w:val="18"/>
                <w:szCs w:val="18"/>
              </w:rPr>
            </w:pPr>
            <w:r>
              <w:rPr>
                <w:color w:val="000000"/>
                <w:sz w:val="18"/>
                <w:szCs w:val="18"/>
              </w:rPr>
              <w:t xml:space="preserve">Entro 15 giorni dalla sottoscrizione del presente accordo</w:t>
            </w:r>
          </w:p>
        </w:tc>
      </w:tr>
      <w:tr>
        <w:tc>
          <w:tcPr>
            <w:tcW w:w="412" w:type="dxa"/>
            <w:tcBorders>
              <w:top w:val="single" w:color="a5a5a5" w:themeColor="accent3"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2</w:t>
            </w:r>
          </w:p>
        </w:tc>
        <w:tc>
          <w:tcPr>
            <w:tcW w:w="1602" w:type="dxa"/>
            <w:tcBorders>
              <w:top w:val="single" w:color="a5a5a5" w:themeColor="accent3"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Prima rata interessi (50% di € 35.235,95)</w:t>
            </w:r>
          </w:p>
        </w:tc>
        <w:tc>
          <w:tcPr>
            <w:tcW w:w="1526" w:type="dxa"/>
            <w:tcBorders>
              <w:top w:val="single" w:color="a5a5a5" w:themeColor="accent3"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jc w:val="right"/>
              <w:rPr>
                <w:sz w:val="20"/>
                <w:szCs w:val="20"/>
              </w:rPr>
            </w:pPr>
            <w:r>
              <w:rPr>
                <w:color w:val="000000"/>
                <w:sz w:val="20"/>
                <w:szCs w:val="20"/>
              </w:rPr>
              <w:t xml:space="preserve">€ 17.617,98</w:t>
            </w:r>
          </w:p>
        </w:tc>
        <w:tc>
          <w:tcPr>
            <w:tcW w:w="4427" w:type="dxa"/>
            <w:tcBorders>
              <w:top w:val="single" w:color="a5a5a5" w:themeColor="accent3" w:sz="4" w:space="0"/>
              <w:left w:val="single" w:color="auto" w:sz="4" w:space="0"/>
              <w:bottom w:val="single" w:color="auto" w:sz="4" w:space="0"/>
              <w:right w:val="single" w:color="auto" w:sz="4" w:space="0"/>
            </w:tcBorders>
            <w:shd w:val="clear" w:color="auto" w:fill="ffffff"/>
            <w:vAlign w:val="center"/>
          </w:tcPr>
          <w:p>
            <w:pPr>
              <w:rPr>
                <w:b/>
                <w:bCs/>
                <w:color w:val="000000"/>
              </w:rPr>
            </w:pPr>
            <w:r>
              <w:rPr>
                <w:b/>
                <w:bCs/>
                <w:color w:val="000000"/>
              </w:rPr>
              <w:t xml:space="preserve">IT81 E051 1611 2000 0000 0058 873</w:t>
            </w:r>
          </w:p>
          <w:p>
            <w:pPr>
              <w:rPr>
                <w:color w:val="000000"/>
              </w:rPr>
            </w:pPr>
            <w:r>
              <w:rPr>
                <w:color w:val="000000"/>
              </w:rPr>
              <w:t xml:space="preserve">intestato a POLLUCE SPE SRL</w:t>
            </w:r>
          </w:p>
        </w:tc>
        <w:tc>
          <w:tcPr>
            <w:tcW w:w="1988" w:type="dxa"/>
            <w:tcBorders>
              <w:top w:val="single" w:color="a5a5a5" w:themeColor="accent3"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Entro 90 giorni dalla sottoscrizione del presente accordo</w:t>
            </w:r>
          </w:p>
        </w:tc>
      </w:tr>
      <w:tr>
        <w:tc>
          <w:tcPr>
            <w:tcW w:w="412"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3</w:t>
            </w:r>
          </w:p>
        </w:tc>
        <w:tc>
          <w:tcPr>
            <w:tcW w:w="1602"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Seconda rata interessi (50% di € 35.235,95)</w:t>
            </w:r>
          </w:p>
        </w:tc>
        <w:tc>
          <w:tcPr>
            <w:tcW w:w="1526"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jc w:val="right"/>
              <w:rPr>
                <w:sz w:val="20"/>
                <w:szCs w:val="20"/>
              </w:rPr>
            </w:pPr>
            <w:r>
              <w:rPr>
                <w:color w:val="000000"/>
                <w:sz w:val="20"/>
                <w:szCs w:val="20"/>
              </w:rPr>
              <w:t xml:space="preserve">€ 17.617,97</w:t>
            </w:r>
          </w:p>
        </w:tc>
        <w:tc>
          <w:tcPr>
            <w:tcW w:w="4427" w:type="dxa"/>
            <w:tcBorders>
              <w:top w:val="single" w:color="auto" w:sz="4" w:space="0"/>
              <w:left w:val="single" w:color="auto" w:sz="4" w:space="0"/>
              <w:bottom w:val="single" w:color="auto" w:sz="4" w:space="0"/>
              <w:right w:val="single" w:color="auto" w:sz="4" w:space="0"/>
            </w:tcBorders>
            <w:shd w:val="clear" w:color="auto" w:fill="ffffff"/>
            <w:vAlign w:val="center"/>
          </w:tcPr>
          <w:p>
            <w:pPr>
              <w:rPr>
                <w:b/>
                <w:bCs/>
                <w:color w:val="000000"/>
              </w:rPr>
            </w:pPr>
            <w:r>
              <w:rPr>
                <w:b/>
                <w:bCs/>
                <w:color w:val="000000"/>
              </w:rPr>
              <w:t xml:space="preserve">IT81 E051 1611 2000 0000 0058 873</w:t>
            </w:r>
          </w:p>
          <w:p>
            <w:pPr>
              <w:rPr>
                <w:color w:val="000000"/>
              </w:rPr>
            </w:pPr>
            <w:r>
              <w:rPr>
                <w:color w:val="000000"/>
              </w:rPr>
              <w:t xml:space="preserve">intestato a POLLUCE SPE SRL</w:t>
            </w:r>
          </w:p>
        </w:tc>
        <w:tc>
          <w:tcPr>
            <w:tcW w:w="1988" w:type="dxa"/>
            <w:tcBorders>
              <w:top w:val="single" w:color="auto" w:sz="4" w:space="0"/>
              <w:left w:val="single" w:color="auto" w:sz="4" w:space="0"/>
              <w:bottom w:val="single" w:color="auto" w:sz="4" w:space="0"/>
              <w:right w:val="single" w:color="auto" w:sz="4" w:space="0"/>
            </w:tcBorders>
            <w:shd w:val="clear" w:color="auto" w:fill="ffffff"/>
            <w:tcMar>
              <w:left w:w="150" w:type="dxa"/>
              <w:top w:w="100" w:type="dxa"/>
              <w:right w:w="150" w:type="dxa"/>
              <w:bottom w:w="100" w:type="dxa"/>
            </w:tcMar>
            <w:vAlign w:val="center"/>
          </w:tcPr>
          <w:p>
            <w:pPr>
              <w:rPr>
                <w:sz w:val="18"/>
                <w:szCs w:val="18"/>
              </w:rPr>
            </w:pPr>
            <w:r>
              <w:rPr>
                <w:color w:val="000000"/>
                <w:sz w:val="18"/>
                <w:szCs w:val="18"/>
              </w:rPr>
              <w:t xml:space="preserve">Entro 180 giorni dalla sottoscrizione del presente accordo</w:t>
            </w:r>
          </w:p>
        </w:tc>
      </w:tr>
      <w:tr>
        <w:tc>
          <w:tcPr>
            <w:tcW w:w="412" w:type="dxa"/>
            <w:tcBorders>
              <w:top w:val="single" w:color="auto" w:sz="4" w:space="0"/>
              <w:left w:val="single" w:color="auto" w:sz="4" w:space="0"/>
              <w:bottom w:val="single" w:color="auto" w:sz="4" w:space="0"/>
              <w:right w:val="single" w:color="auto" w:sz="4" w:space="0"/>
            </w:tcBorders>
            <w:shd w:val="clear" w:color="auto" w:fill="eef2f8"/>
            <w:tcMar>
              <w:left w:w="150" w:type="dxa"/>
              <w:top w:w="100" w:type="dxa"/>
              <w:right w:w="150" w:type="dxa"/>
              <w:bottom w:w="100" w:type="dxa"/>
            </w:tcMar>
            <w:vAlign w:val="center"/>
          </w:tcPr>
          <w:p/>
        </w:tc>
        <w:tc>
          <w:tcPr>
            <w:tcW w:w="1602" w:type="dxa"/>
            <w:tcBorders>
              <w:top w:val="single" w:color="auto" w:sz="4" w:space="0"/>
              <w:left w:val="single" w:color="auto" w:sz="4" w:space="0"/>
              <w:bottom w:val="single" w:color="auto" w:sz="4" w:space="0"/>
              <w:right w:val="single" w:color="auto" w:sz="4" w:space="0"/>
            </w:tcBorders>
            <w:shd w:val="clear" w:color="auto" w:fill="eef2f8"/>
            <w:tcMar>
              <w:left w:w="150" w:type="dxa"/>
              <w:top w:w="100" w:type="dxa"/>
              <w:right w:w="150" w:type="dxa"/>
              <w:bottom w:w="100" w:type="dxa"/>
            </w:tcMar>
            <w:vAlign w:val="center"/>
          </w:tcPr>
          <w:p>
            <w:r>
              <w:rPr>
                <w:b/>
                <w:bCs/>
                <w:color w:val="000000"/>
                <w:sz w:val="20"/>
                <w:szCs w:val="20"/>
              </w:rPr>
              <w:t xml:space="preserve">TOTALE</w:t>
            </w:r>
          </w:p>
        </w:tc>
        <w:tc>
          <w:tcPr>
            <w:tcW w:w="1526" w:type="dxa"/>
            <w:tcBorders>
              <w:top w:val="single" w:color="auto" w:sz="4" w:space="0"/>
              <w:left w:val="single" w:color="auto" w:sz="4" w:space="0"/>
              <w:bottom w:val="single" w:color="auto" w:sz="4" w:space="0"/>
              <w:right w:val="single" w:color="auto" w:sz="4" w:space="0"/>
            </w:tcBorders>
            <w:shd w:val="clear" w:color="auto" w:fill="eef2f8"/>
            <w:tcMar>
              <w:left w:w="150" w:type="dxa"/>
              <w:top w:w="100" w:type="dxa"/>
              <w:right w:w="150" w:type="dxa"/>
              <w:bottom w:w="100" w:type="dxa"/>
            </w:tcMar>
            <w:vAlign w:val="center"/>
          </w:tcPr>
          <w:p>
            <w:pPr>
              <w:jc w:val="right"/>
            </w:pPr>
            <w:r>
              <w:rPr>
                <w:b/>
                <w:bCs/>
                <w:color w:val="000000"/>
              </w:rPr>
              <w:t xml:space="preserve">€ 96.083,81</w:t>
            </w:r>
          </w:p>
        </w:tc>
        <w:tc>
          <w:tcPr>
            <w:tcW w:w="4427" w:type="dxa"/>
            <w:tcBorders>
              <w:top w:val="single" w:color="auto" w:sz="4" w:space="0"/>
              <w:left w:val="single" w:color="auto" w:sz="4" w:space="0"/>
              <w:bottom w:val="single" w:color="auto" w:sz="4" w:space="0"/>
              <w:right w:val="single" w:color="auto" w:sz="4" w:space="0"/>
            </w:tcBorders>
            <w:shd w:val="clear" w:color="auto" w:fill="eef2f8"/>
            <w:vAlign w:val="center"/>
          </w:tcPr>
          <w:p/>
        </w:tc>
        <w:tc>
          <w:tcPr>
            <w:tcW w:w="1988" w:type="dxa"/>
            <w:tcBorders>
              <w:top w:val="single" w:color="auto" w:sz="4" w:space="0"/>
              <w:left w:val="single" w:color="auto" w:sz="4" w:space="0"/>
              <w:bottom w:val="single" w:color="auto" w:sz="4" w:space="0"/>
              <w:right w:val="single" w:color="auto" w:sz="4" w:space="0"/>
            </w:tcBorders>
            <w:shd w:val="clear" w:color="auto" w:fill="eef2f8"/>
            <w:tcMar>
              <w:left w:w="150" w:type="dxa"/>
              <w:top w:w="100" w:type="dxa"/>
              <w:right w:w="150" w:type="dxa"/>
              <w:bottom w:w="100" w:type="dxa"/>
            </w:tcMar>
            <w:vAlign w:val="center"/>
          </w:tcPr>
          <w:p/>
        </w:tc>
      </w:tr>
    </w:tbl>
    <w:p>
      <w:pPr>
        <w:spacing w:before="160"/>
      </w:pPr>
    </w:p>
    <w:p>
      <w:pPr>
        <w:spacing w:after="120" w:before="120"/>
        <w:jc w:val="both"/>
      </w:pPr>
      <w:r>
        <w:t xml:space="preserve">I pagamenti avverranno mediante bonifico bancario su conto corrente dedicato ex L. n. 136/2010, alle seguenti coordinate:</w:t>
      </w:r>
    </w:p>
    <w:p>
      <w:pPr>
        <w:spacing w:before="80"/>
      </w:pPr>
    </w:p>
    <w:p>
      <w:pPr>
        <w:spacing w:before="80"/>
      </w:pPr>
      <w:r>
        <w:t xml:space="preserve">Per Capitale imposta di registro e interessi:</w:t>
      </w:r>
    </w:p>
    <w:p>
      <w:pPr>
        <w:spacing w:before="80"/>
        <w:rPr>
          <w:sz w:val="4"/>
          <w:szCs w:val="4"/>
        </w:rPr>
      </w:pPr>
    </w:p>
    <w:p>
      <w:pPr>
        <w:pStyle w:val="Paragrafoelenco"/>
        <w:numPr>
          <w:ilvl w:val="0"/>
          <w:numId w:val="3"/>
        </w:numPr>
        <w:spacing w:after="120" w:before="120"/>
        <w:jc w:val="both"/>
      </w:pPr>
      <w:r>
        <w:rPr>
          <w:b/>
          <w:bCs/>
        </w:rPr>
        <w:t xml:space="preserve">IBAN: </w:t>
      </w:r>
      <w:r>
        <w:rPr>
          <w:b/>
          <w:bCs/>
        </w:rPr>
        <w:t xml:space="preserve">IT81 E051 1611 2000 0000 0058 873</w:t>
      </w:r>
      <w:r>
        <w:t xml:space="preserve"> </w:t>
      </w:r>
      <w:r>
        <w:t xml:space="preserve">Intestato a: Polluce SPE S.r.l. </w:t>
      </w:r>
    </w:p>
    <w:p>
      <w:pPr>
        <w:spacing w:after="120" w:before="120"/>
        <w:jc w:val="both"/>
      </w:pPr>
      <w:r>
        <w:t xml:space="preserve">Causale: "Pagamento accordo transattivo – Sentenza n. 824/2021 – Rata n. [●]"</w:t>
      </w:r>
    </w:p>
    <w:p>
      <w:pPr>
        <w:spacing w:after="120" w:before="120"/>
        <w:jc w:val="both"/>
        <w:rPr>
          <w:sz w:val="10"/>
          <w:szCs w:val="10"/>
        </w:rPr>
      </w:pPr>
    </w:p>
    <w:p>
      <w:pPr>
        <w:spacing w:before="80"/>
      </w:pPr>
      <w:r>
        <w:t xml:space="preserve">Per spese legali:</w:t>
      </w:r>
    </w:p>
    <w:p>
      <w:pPr>
        <w:spacing w:before="80"/>
        <w:rPr>
          <w:sz w:val="8"/>
          <w:szCs w:val="8"/>
        </w:rPr>
      </w:pPr>
    </w:p>
    <w:p>
      <w:pPr>
        <w:pStyle w:val="Paragrafoelenco"/>
        <w:numPr>
          <w:ilvl w:val="0"/>
          <w:numId w:val="3"/>
        </w:numPr>
      </w:pPr>
      <w:r>
        <w:rPr>
          <w:b/>
          <w:bCs/>
          <w:color w:val="000000"/>
        </w:rPr>
        <w:t xml:space="preserve">IBAN IT 77 H030 6905 2381 0000 0002 228 </w:t>
      </w:r>
      <w:r>
        <w:rPr>
          <w:color w:val="000000"/>
        </w:rPr>
        <w:t xml:space="preserve">intestato a COLLEXTION LEGAL SOCIETA’ TRA AVVOCATI </w:t>
      </w:r>
      <w:r>
        <w:rPr>
          <w:color w:val="000000"/>
        </w:rPr>
        <w:t xml:space="preserve">S.r.L</w:t>
      </w:r>
    </w:p>
    <w:p>
      <w:pPr>
        <w:spacing w:before="80"/>
      </w:pPr>
    </w:p>
    <w:p>
      <w:pPr>
        <w:spacing w:after="120" w:before="120"/>
        <w:jc w:val="both"/>
      </w:pPr>
      <w:r>
        <w:t xml:space="preserve">La data valuta di ciascun bonifico costituisce prova del rispetto dei termini di pagamento.</w:t>
      </w:r>
    </w:p>
    <w:p>
      <w:pPr>
        <w:pStyle w:val="Enfasigrassetto1"/>
      </w:pPr>
    </w:p>
    <w:p>
      <w:pPr>
        <w:spacing w:after="180" w:before="300"/>
      </w:pPr>
      <w:r>
        <w:rPr>
          <w:b/>
          <w:bCs/>
          <w:color w:val="2e5496"/>
          <w:sz w:val="26"/>
          <w:szCs w:val="26"/>
        </w:rPr>
        <w:t xml:space="preserve">Art. 4 – INADEMPIMENTO</w:t>
      </w:r>
    </w:p>
    <w:p>
      <w:pPr>
        <w:spacing w:after="120" w:before="120"/>
        <w:jc w:val="both"/>
      </w:pPr>
      <w:r>
        <w:t xml:space="preserve">Il mancato rispetto della scadenza di cui alla rata n. 1 (sorte capitale, spese legali e imposta di registro) entro il termine di 15 giorni dalla sottoscrizione, comporta l'inefficacia del presente accordo e la facoltà di Polluce di procedere con l'esecuzione forzata per l'intero importo originariamente precettato.</w:t>
      </w:r>
    </w:p>
    <w:p>
      <w:pPr>
        <w:spacing w:after="120" w:before="120"/>
        <w:jc w:val="both"/>
        <w:rPr>
          <w:sz w:val="2"/>
          <w:szCs w:val="2"/>
        </w:rPr>
      </w:pPr>
    </w:p>
    <w:p>
      <w:pPr>
        <w:spacing w:after="120" w:before="120"/>
        <w:jc w:val="both"/>
      </w:pPr>
      <w:r>
        <w:t xml:space="preserve">In caso di mancato pagamento di una delle rate di cui alle scadenze n.1, n. 2 e n. 3 dell’art. 3 entro 10 (dieci) giorni lavorativi dalla relativa scadenza, Polluce avrà facoltà di dichiarare la decadenza dal beneficio del termine ed escutere immediatamente l’intero saldo residuo senza applicazione della riduzione del 50% </w:t>
      </w:r>
      <w:r>
        <w:t xml:space="preserve">degli interessi di mora </w:t>
      </w:r>
      <w:r>
        <w:t xml:space="preserve">prevista dal presente accordo.</w:t>
      </w:r>
    </w:p>
    <w:p>
      <w:pPr>
        <w:spacing w:after="180" w:before="300"/>
      </w:pPr>
      <w:r>
        <w:rPr>
          <w:b/>
          <w:bCs/>
          <w:color w:val="2e5496"/>
          <w:sz w:val="26"/>
          <w:szCs w:val="26"/>
        </w:rPr>
        <w:t xml:space="preserve">Art. 5 – SOSPENSIONE DELL'ESECUZIONE</w:t>
      </w:r>
    </w:p>
    <w:p>
      <w:pPr>
        <w:spacing w:after="120" w:before="120"/>
        <w:jc w:val="both"/>
      </w:pPr>
      <w:r>
        <w:t xml:space="preserve">Con la sottoscrizione del presente accordo, Polluce si impegna a sospendere qualsiasi azione esecutiva o cautelare derivante dal precetto del 09.04.2026 per tutta la durata del piano di pagamento di cui all'art. 3, a condizione che la Provincia rispetti i termini ivi stabiliti.</w:t>
      </w:r>
    </w:p>
    <w:p>
      <w:pPr>
        <w:spacing w:after="180" w:before="300"/>
      </w:pPr>
      <w:r>
        <w:rPr>
          <w:b/>
          <w:bCs/>
          <w:color w:val="2e5496"/>
          <w:sz w:val="26"/>
          <w:szCs w:val="26"/>
        </w:rPr>
        <w:t xml:space="preserve">Art. 6 – EFFETTI ESTINTIVI E RINUNCE</w:t>
      </w:r>
    </w:p>
    <w:p>
      <w:pPr>
        <w:spacing w:after="120" w:before="120"/>
        <w:jc w:val="both"/>
      </w:pPr>
      <w:r>
        <w:t xml:space="preserve">Con il pagamento integrale di tutti gli importi di cui all'art. 2 nei termini di cui all'art. 3:</w:t>
      </w:r>
    </w:p>
    <w:p>
      <w:pPr>
        <w:pStyle w:val="Paragrafoelenco"/>
        <w:numPr>
          <w:ilvl w:val="0"/>
          <w:numId w:val="3"/>
        </w:numPr>
        <w:spacing w:after="80" w:before="120"/>
        <w:ind w:left="426"/>
        <w:jc w:val="both"/>
      </w:pPr>
      <w:r>
        <w:t xml:space="preserve">entrambe le Parti rinunciano reciprocamente a qualsiasi ulteriore pretesa, azione o eccezione derivante dalla Sentenza n. 824/2021, dall'atto di precetto del 09.04.2026 e da qualsiasi altro atto o </w:t>
      </w:r>
      <w:r>
        <w:t xml:space="preserve">procedimento </w:t>
      </w:r>
      <w:r>
        <w:t xml:space="preserve">ivi </w:t>
      </w:r>
      <w:r>
        <w:t xml:space="preserve">connesso;</w:t>
      </w:r>
    </w:p>
    <w:p>
      <w:pPr>
        <w:pStyle w:val="Paragrafoelenco"/>
        <w:numPr>
          <w:ilvl w:val="0"/>
          <w:numId w:val="3"/>
        </w:numPr>
        <w:spacing w:after="80" w:before="80"/>
        <w:ind w:left="426"/>
        <w:jc w:val="both"/>
      </w:pPr>
      <w:r>
        <w:t xml:space="preserve">Polluce rinuncia espressamente a</w:t>
      </w:r>
      <w:r>
        <w:t xml:space="preserve">d</w:t>
      </w:r>
      <w:r>
        <w:t xml:space="preserve"> ogni ulteriore richiesta accessoria non compresa nel presente accordo (spese forfettarie, CNA, IVA e imposta di registro eccedente l'importo di cui all'art. 2);</w:t>
      </w:r>
    </w:p>
    <w:p>
      <w:pPr>
        <w:pStyle w:val="Paragrafoelenco"/>
        <w:numPr>
          <w:ilvl w:val="0"/>
          <w:numId w:val="3"/>
        </w:numPr>
        <w:spacing w:after="120" w:before="80"/>
        <w:ind w:left="426"/>
        <w:jc w:val="both"/>
      </w:pPr>
      <w:r>
        <w:t xml:space="preserve">il presente accordo ha valore di quietanza liberatoria a ogni effetto di legge.</w:t>
      </w:r>
    </w:p>
    <w:p>
      <w:pPr>
        <w:pStyle w:val="Enfasigrassetto1"/>
      </w:pPr>
    </w:p>
    <w:p>
      <w:pPr>
        <w:spacing w:after="180" w:before="300"/>
      </w:pPr>
      <w:r>
        <w:rPr>
          <w:b/>
          <w:bCs/>
          <w:color w:val="2e5496"/>
          <w:sz w:val="26"/>
          <w:szCs w:val="26"/>
        </w:rPr>
        <w:t xml:space="preserve">Art. 7 – FORMALIZZAZIONE E CONTROLLI</w:t>
      </w:r>
    </w:p>
    <w:p>
      <w:pPr>
        <w:spacing w:after="120" w:before="120"/>
        <w:jc w:val="both"/>
      </w:pPr>
      <w:r>
        <w:t xml:space="preserve">Il presente accordo è stipulato ai sensi dell'art. 1965 c.c. e sarà depositato agli atti della Provincia di Frosinone per le verifiche di rito degli organi di controllo interno ed esterno, ivi compresa la Corte dei Conti, ai sensi del </w:t>
      </w:r>
      <w:r>
        <w:t xml:space="preserve">D.Lgs.</w:t>
      </w:r>
      <w:r>
        <w:t xml:space="preserve"> n. 174/2016.</w:t>
      </w:r>
    </w:p>
    <w:p>
      <w:pPr>
        <w:spacing w:after="120" w:before="120"/>
        <w:jc w:val="both"/>
      </w:pPr>
      <w:r>
        <w:t xml:space="preserve">Le Parti riconoscono che il presente accordo è sorretto da adeguata motivazione di interesse pubblico, come documentato negli atti istruttori della Provincia, e costituisce il massimo sforzo finanziario compatibile con i vincoli di bilancio dell'Ente.</w:t>
      </w:r>
    </w:p>
    <w:p>
      <w:pPr>
        <w:spacing w:after="180" w:before="300"/>
      </w:pPr>
      <w:r>
        <w:rPr>
          <w:b/>
          <w:bCs/>
          <w:color w:val="2e5496"/>
          <w:sz w:val="26"/>
          <w:szCs w:val="26"/>
        </w:rPr>
        <w:t xml:space="preserve">Art. 8 – LEGGE APPLICABILE E FORO COMPETENTE</w:t>
      </w:r>
    </w:p>
    <w:p>
      <w:pPr>
        <w:spacing w:after="120" w:before="120"/>
        <w:jc w:val="both"/>
      </w:pPr>
      <w:r>
        <w:t xml:space="preserve">Il presente accordo è regolato dalla legge italiana. Per qualsiasi controversia derivante </w:t>
      </w:r>
      <w:r>
        <w:t xml:space="preserve">dall'interpretazione o dall'esecuzione del presente accordo, le Parti concordano la competenza esclusiva </w:t>
      </w:r>
      <w:r>
        <w:t xml:space="preserve">del Foro di </w:t>
      </w:r>
      <w:r>
        <w:t xml:space="preserve">Roma</w:t>
      </w:r>
      <w:r>
        <w:t xml:space="preserve">.</w:t>
      </w:r>
    </w:p>
    <w:p>
      <w:pPr>
        <w:spacing w:after="180" w:before="300"/>
      </w:pPr>
      <w:r>
        <w:rPr>
          <w:b/>
          <w:bCs/>
          <w:color w:val="2e5496"/>
          <w:sz w:val="26"/>
          <w:szCs w:val="26"/>
        </w:rPr>
        <w:t xml:space="preserve">Art. 9 – REGISTRAZIONE</w:t>
      </w:r>
    </w:p>
    <w:p>
      <w:pPr>
        <w:spacing w:after="120" w:before="120"/>
        <w:jc w:val="both"/>
      </w:pPr>
      <w:r>
        <w:t xml:space="preserve">Le spese di eventuale registrazione del presente accordo sono a carico della Provincia di Frosinone, nei limiti di legge. L'imposta di registrazione del titolo esecutivo già corrisposta da Polluce (€ 817,50, di cui alle quietanze allegate) è ricompresa negli importi di cui all'art. 2.</w:t>
      </w:r>
    </w:p>
    <w:p>
      <w:pPr>
        <w:spacing w:after="180" w:before="300"/>
      </w:pPr>
      <w:r>
        <w:rPr>
          <w:b/>
          <w:bCs/>
          <w:color w:val="2e5496"/>
          <w:sz w:val="26"/>
          <w:szCs w:val="26"/>
        </w:rPr>
        <w:t xml:space="preserve">Art. 10 – DISPOSIZIONI FINALI</w:t>
      </w:r>
    </w:p>
    <w:p>
      <w:pPr>
        <w:spacing w:after="120" w:before="120"/>
        <w:jc w:val="both"/>
      </w:pPr>
      <w:r>
        <w:t xml:space="preserve">Il presente accordo è redatto in tre originali, uno per ciascuna Parte e uno da depositare agli atti della Provincia. Esso annulla e sostituisce ogni precedente proposta, controproposta o intesa, scritta o verbale, intercorsa tra le Parti in relazione alla vertenza di cui in premessa.</w:t>
      </w:r>
    </w:p>
    <w:p>
      <w:pPr>
        <w:spacing w:before="200"/>
      </w:pPr>
    </w:p>
    <w:p>
      <w:pPr>
        <w:spacing w:after="120" w:before="200"/>
      </w:pPr>
      <w:r>
        <w:t xml:space="preserve">Frosinone, _____ _____________ 2026</w:t>
      </w:r>
    </w:p>
    <w:p>
      <w:pPr>
        <w:spacing w:before="300"/>
      </w:pPr>
    </w:p>
    <w:p>
      <w:pPr>
        <w:spacing w:after="80"/>
        <w:rPr>
          <w:b/>
          <w:bCs/>
        </w:rPr>
      </w:pPr>
      <w:r>
        <w:rPr>
          <w:b/>
          <w:bCs/>
        </w:rPr>
        <w:t xml:space="preserve">PER LA PROVINCIA DI FROSINONE</w:t>
      </w:r>
    </w:p>
    <w:p>
      <w:pPr>
        <w:spacing w:after="80"/>
        <w:rPr>
          <w:b/>
          <w:bCs/>
        </w:rPr>
      </w:pPr>
    </w:p>
    <w:tbl>
      <w:tblPr>
        <w:tblW w:w="9638" w:type="dxa"/>
        <w:tblCellMar>
          <w:left w:w="10" w:type="dxa"/>
          <w:right w:w="1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19"/>
        <w:gridCol w:w="4819"/>
      </w:tblGrid>
      <w:tr>
        <w:tc>
          <w:tcPr>
            <w:tcW w:w="4819" w:type="dxa"/>
          </w:tcPr>
          <w:p>
            <w:pPr>
              <w:rPr>
                <w:b/>
                <w:bCs/>
              </w:rPr>
            </w:pPr>
            <w:r>
              <w:rPr>
                <w:b/>
                <w:bCs/>
              </w:rPr>
              <w:t xml:space="preserve">Il Dirigente del </w:t>
            </w:r>
            <w:r>
              <w:rPr>
                <w:b/>
                <w:bCs/>
              </w:rPr>
              <w:t xml:space="preserve">Servizio Legale</w:t>
            </w:r>
          </w:p>
          <w:p>
            <w:r>
              <w:t xml:space="preserve">Avv. Annalisa D’Aguanno</w:t>
            </w:r>
          </w:p>
        </w:tc>
        <w:tc>
          <w:tcPr>
            <w:tcW w:w="4819" w:type="dxa"/>
          </w:tcPr>
          <w:p>
            <w:r>
              <w:rPr>
                <w:b/>
                <w:bCs/>
              </w:rPr>
              <w:t xml:space="preserve">Il Dirigente del Settore Finanze e Tributi</w:t>
            </w:r>
          </w:p>
          <w:p>
            <w:r>
              <w:t xml:space="preserve">Dott. Andrea Di Sora</w:t>
            </w:r>
          </w:p>
          <w:p/>
        </w:tc>
      </w:tr>
    </w:tbl>
    <w:p>
      <w:pPr>
        <w:spacing w:after="60"/>
        <w:rPr>
          <w:b/>
          <w:bCs/>
        </w:rPr>
      </w:pPr>
    </w:p>
    <w:p>
      <w:pPr>
        <w:spacing w:after="60"/>
        <w:rPr>
          <w:b/>
          <w:bCs/>
        </w:rPr>
      </w:pPr>
    </w:p>
    <w:p>
      <w:pPr>
        <w:spacing w:after="60"/>
        <w:rPr>
          <w:b/>
          <w:bCs/>
        </w:rPr>
      </w:pPr>
      <w:r>
        <w:rPr>
          <w:b/>
          <w:bCs/>
        </w:rPr>
        <w:t xml:space="preserve">Per </w:t>
      </w:r>
      <w:r>
        <w:rPr>
          <w:b/>
          <w:bCs/>
        </w:rPr>
        <w:t xml:space="preserve">Collextion</w:t>
      </w:r>
      <w:r>
        <w:rPr>
          <w:b/>
          <w:bCs/>
        </w:rPr>
        <w:t xml:space="preserve"> Services S.r.l.</w:t>
      </w:r>
    </w:p>
    <w:p>
      <w:pPr>
        <w:spacing w:after="60"/>
        <w:rPr>
          <w:b/>
          <w:bCs/>
        </w:rPr>
      </w:pPr>
    </w:p>
    <w:p>
      <w:pPr>
        <w:spacing w:after="10" w:before="12" w:line="320" w:lineRule="exact"/>
        <w:ind w:right="-142"/>
        <w:rPr>
          <w:rFonts w:ascii="Century Gothic" w:hAnsi="Century Gothic"/>
          <w:color w:val="000000"/>
        </w:rPr>
      </w:pPr>
      <w:r>
        <w:rPr>
          <w:rFonts w:ascii="Century Gothic" w:hAnsi="Century Gothic"/>
          <w:color w:val="000000"/>
        </w:rPr>
        <w:t xml:space="preserve">Il Procuratore</w:t>
      </w:r>
      <w:r>
        <w:rPr>
          <w:rFonts w:ascii="Century Gothic" w:hAnsi="Century Gothic"/>
          <w:color w:val="000000"/>
        </w:rPr>
        <w:tab/>
      </w:r>
      <w:r>
        <w:rPr>
          <w:rFonts w:ascii="Century Gothic" w:hAnsi="Century Gothic"/>
          <w:color w:val="000000"/>
        </w:rPr>
        <w:tab/>
      </w:r>
      <w:r>
        <w:rPr>
          <w:rFonts w:ascii="Century Gothic" w:hAnsi="Century Gothic"/>
          <w:color w:val="000000"/>
        </w:rPr>
        <w:tab/>
      </w:r>
      <w:r>
        <w:rPr>
          <w:rFonts w:ascii="Century Gothic" w:hAnsi="Century Gothic"/>
          <w:color w:val="000000"/>
        </w:rPr>
        <w:tab/>
      </w:r>
      <w:r>
        <w:rPr>
          <w:rFonts w:ascii="Century Gothic" w:hAnsi="Century Gothic"/>
          <w:color w:val="000000"/>
        </w:rPr>
        <w:tab/>
      </w:r>
      <w:r>
        <w:rPr>
          <w:rFonts w:ascii="Century Gothic" w:hAnsi="Century Gothic"/>
          <w:color w:val="000000"/>
        </w:rPr>
        <w:tab/>
      </w:r>
    </w:p>
    <w:p>
      <w:pPr>
        <w:spacing w:after="10" w:before="12" w:line="320" w:lineRule="exact"/>
        <w:ind w:right="-142"/>
        <w:rPr>
          <w:rFonts w:ascii="Century Gothic" w:hAnsi="Century Gothic"/>
          <w:color w:val="000000"/>
        </w:rPr>
      </w:pPr>
      <w:r>
        <w:rPr>
          <w:rFonts w:ascii="Century Gothic" w:hAnsi="Century Gothic"/>
          <w:color w:val="000000"/>
        </w:rPr>
        <w:t xml:space="preserve">L’Amministratore Delegato</w:t>
      </w:r>
    </w:p>
    <w:p>
      <w:pPr>
        <w:spacing w:after="10" w:before="12" w:line="320" w:lineRule="exact"/>
        <w:ind w:right="-142"/>
        <w:rPr>
          <w:rFonts w:ascii="Century Gothic" w:hAnsi="Century Gothic"/>
          <w:color w:val="000000"/>
        </w:rPr>
      </w:pPr>
      <w:r>
        <w:rPr>
          <w:rFonts w:ascii="Century Gothic" w:hAnsi="Century Gothic"/>
          <w:color w:val="000000"/>
        </w:rPr>
        <w:t xml:space="preserve">Antonio Borraccino</w:t>
      </w:r>
    </w:p>
    <w:p>
      <w:pPr>
        <w:spacing w:before="500"/>
      </w:pPr>
      <w:r>
        <w:t xml:space="preserve">______________________</w:t>
      </w:r>
      <w:r>
        <w:tab/>
      </w:r>
      <w:r>
        <w:tab/>
      </w:r>
      <w:r>
        <w:tab/>
      </w:r>
      <w:r>
        <w:tab/>
      </w:r>
    </w:p>
    <w:p>
      <w:pPr>
        <w:spacing w:before="500"/>
      </w:pPr>
    </w:p>
    <w:p>
      <w:pPr>
        <w:spacing w:before="80"/>
      </w:pPr>
      <w:r>
        <w:rPr>
          <w:color w:val="888888"/>
          <w:sz w:val="16"/>
          <w:szCs w:val="16"/>
        </w:rPr>
        <w:t xml:space="preserve">BOZZA – Provincia di Frosinone | Schema di accordo transattivo / Sentenza 824/2021 | Pag. 1 di 1</w:t>
      </w:r>
    </w:p>
    <w:sectPr>
      <w:pgSz w:h="16838" w:w="11906"/>
      <w:pgMar w:top="851"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Times New Roman">
    <w:panose1 w:val="02020603050405020304"/>
  </w:font>
  <w:font w:name="Cambria">
    <w:panose1 w:val="020405030504060302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nsid w:val="1B2D3257"/>
    <w:lvl w:ilvl="0" w:tplc="9DB46AC6">
      <w:lvlJc w:val="left"/>
      <w:lvlText w:val="●"/>
      <w:numFmt w:val="bullet"/>
      <w:pPr>
        <w:ind w:hanging="360" w:left="720"/>
      </w:pPr>
      <w:start w:val="1"/>
    </w:lvl>
    <w:lvl w:ilvl="1" w:tplc="A718F46E">
      <w:lvlJc w:val="left"/>
      <w:lvlText w:val="○"/>
      <w:numFmt w:val="bullet"/>
      <w:pPr>
        <w:ind w:hanging="360" w:left="1440"/>
      </w:pPr>
      <w:start w:val="1"/>
    </w:lvl>
    <w:lvl w:ilvl="2" w:tplc="CBE21B76">
      <w:lvlJc w:val="left"/>
      <w:lvlText w:val="■"/>
      <w:numFmt w:val="bullet"/>
      <w:pPr>
        <w:ind w:hanging="360" w:left="2160"/>
      </w:pPr>
      <w:start w:val="1"/>
    </w:lvl>
    <w:lvl w:ilvl="3" w:tplc="E410D3A8">
      <w:lvlJc w:val="left"/>
      <w:lvlText w:val="●"/>
      <w:numFmt w:val="bullet"/>
      <w:pPr>
        <w:ind w:hanging="360" w:left="2880"/>
      </w:pPr>
      <w:start w:val="1"/>
    </w:lvl>
    <w:lvl w:ilvl="4" w:tplc="6B52A384">
      <w:lvlJc w:val="left"/>
      <w:lvlText w:val="○"/>
      <w:numFmt w:val="bullet"/>
      <w:pPr>
        <w:ind w:hanging="360" w:left="3600"/>
      </w:pPr>
      <w:start w:val="1"/>
    </w:lvl>
    <w:lvl w:ilvl="5" w:tplc="A350D2D8">
      <w:lvlJc w:val="left"/>
      <w:lvlText w:val="■"/>
      <w:numFmt w:val="bullet"/>
      <w:pPr>
        <w:ind w:hanging="360" w:left="4320"/>
      </w:pPr>
      <w:start w:val="1"/>
    </w:lvl>
    <w:lvl w:ilvl="6" w:tplc="67966BB6">
      <w:lvlJc w:val="left"/>
      <w:lvlText w:val="●"/>
      <w:numFmt w:val="bullet"/>
      <w:pPr>
        <w:ind w:hanging="360" w:left="5040"/>
      </w:pPr>
      <w:start w:val="1"/>
    </w:lvl>
    <w:lvl w:ilvl="7" w:tplc="85C45572">
      <w:lvlJc w:val="left"/>
      <w:lvlText w:val="●"/>
      <w:numFmt w:val="bullet"/>
      <w:pPr>
        <w:ind w:hanging="360" w:left="5760"/>
      </w:pPr>
      <w:start w:val="1"/>
    </w:lvl>
    <w:lvl w:ilvl="8" w:tplc="46C4343E">
      <w:lvlJc w:val="left"/>
      <w:lvlText w:val="●"/>
      <w:numFmt w:val="bullet"/>
      <w:pPr>
        <w:ind w:hanging="360" w:left="6480"/>
      </w:pPr>
      <w:start w:val="1"/>
    </w:lvl>
  </w:abstractNum>
  <w:abstractNum w:abstractNumId="1">
    <w:multiLevelType w:val="hybridMultilevel"/>
    <w:nsid w:val="4A281312"/>
    <w:lvl w:ilvl="0" w:tplc="04100001">
      <w:lvlJc w:val="left"/>
      <w:lvlText w:val=""/>
      <w:numFmt w:val="bullet"/>
      <w:pPr>
        <w:ind w:hanging="360" w:left="720"/>
      </w:pPr>
      <w:rPr>
        <w:rFonts w:hint="default" w:ascii="Symbol" w:hAnsi="Symbol"/>
      </w:rPr>
      <w:start w:val="1"/>
    </w:lvl>
    <w:lvl w:ilvl="1" w:tentative="true" w:tplc="04100003">
      <w:lvlJc w:val="left"/>
      <w:lvlText w:val="o"/>
      <w:numFmt w:val="bullet"/>
      <w:pPr>
        <w:ind w:hanging="360" w:left="1440"/>
      </w:pPr>
      <w:rPr>
        <w:rFonts w:hint="default" w:ascii="Courier New" w:hAnsi="Courier New" w:cs="Courier New"/>
      </w:rPr>
      <w:start w:val="1"/>
    </w:lvl>
    <w:lvl w:ilvl="2" w:tentative="true" w:tplc="04100005">
      <w:lvlJc w:val="left"/>
      <w:lvlText w:val=""/>
      <w:numFmt w:val="bullet"/>
      <w:pPr>
        <w:ind w:hanging="360" w:left="2160"/>
      </w:pPr>
      <w:rPr>
        <w:rFonts w:hint="default" w:ascii="Wingdings" w:hAnsi="Wingdings"/>
      </w:rPr>
      <w:start w:val="1"/>
    </w:lvl>
    <w:lvl w:ilvl="3" w:tentative="true" w:tplc="04100001">
      <w:lvlJc w:val="left"/>
      <w:lvlText w:val=""/>
      <w:numFmt w:val="bullet"/>
      <w:pPr>
        <w:ind w:hanging="360" w:left="2880"/>
      </w:pPr>
      <w:rPr>
        <w:rFonts w:hint="default" w:ascii="Symbol" w:hAnsi="Symbol"/>
      </w:rPr>
      <w:start w:val="1"/>
    </w:lvl>
    <w:lvl w:ilvl="4" w:tentative="true" w:tplc="04100003">
      <w:lvlJc w:val="left"/>
      <w:lvlText w:val="o"/>
      <w:numFmt w:val="bullet"/>
      <w:pPr>
        <w:ind w:hanging="360" w:left="3600"/>
      </w:pPr>
      <w:rPr>
        <w:rFonts w:hint="default" w:ascii="Courier New" w:hAnsi="Courier New" w:cs="Courier New"/>
      </w:rPr>
      <w:start w:val="1"/>
    </w:lvl>
    <w:lvl w:ilvl="5" w:tentative="true" w:tplc="04100005">
      <w:lvlJc w:val="left"/>
      <w:lvlText w:val=""/>
      <w:numFmt w:val="bullet"/>
      <w:pPr>
        <w:ind w:hanging="360" w:left="4320"/>
      </w:pPr>
      <w:rPr>
        <w:rFonts w:hint="default" w:ascii="Wingdings" w:hAnsi="Wingdings"/>
      </w:rPr>
      <w:start w:val="1"/>
    </w:lvl>
    <w:lvl w:ilvl="6" w:tentative="true" w:tplc="04100001">
      <w:lvlJc w:val="left"/>
      <w:lvlText w:val=""/>
      <w:numFmt w:val="bullet"/>
      <w:pPr>
        <w:ind w:hanging="360" w:left="5040"/>
      </w:pPr>
      <w:rPr>
        <w:rFonts w:hint="default" w:ascii="Symbol" w:hAnsi="Symbol"/>
      </w:rPr>
      <w:start w:val="1"/>
    </w:lvl>
    <w:lvl w:ilvl="7" w:tentative="true" w:tplc="04100003">
      <w:lvlJc w:val="left"/>
      <w:lvlText w:val="o"/>
      <w:numFmt w:val="bullet"/>
      <w:pPr>
        <w:ind w:hanging="360" w:left="5760"/>
      </w:pPr>
      <w:rPr>
        <w:rFonts w:hint="default" w:ascii="Courier New" w:hAnsi="Courier New" w:cs="Courier New"/>
      </w:rPr>
      <w:start w:val="1"/>
    </w:lvl>
    <w:lvl w:ilvl="8" w:tentative="true" w:tplc="04100005">
      <w:lvlJc w:val="left"/>
      <w:lvlText w:val=""/>
      <w:numFmt w:val="bullet"/>
      <w:pPr>
        <w:ind w:hanging="360" w:left="6480"/>
      </w:pPr>
      <w:rPr>
        <w:rFonts w:hint="default" w:ascii="Wingdings" w:hAnsi="Wingdings"/>
      </w:rPr>
      <w:start w:val="1"/>
    </w:lvl>
  </w:abstractNum>
  <w:abstractNum w:abstractNumId="2">
    <w:multiLevelType w:val="hybridMultilevel"/>
    <w:nsid w:val="55833B28"/>
    <w:lvl w:ilvl="0" w:tplc="3D6814D0">
      <w:lvlJc w:val="left"/>
      <w:lvlText w:val="Art. %1"/>
      <w:numFmt w:val="decimal"/>
      <w:pPr>
        <w:ind w:firstLine="0" w:left="0"/>
      </w:pPr>
      <w:start w:val="1"/>
    </w:lvl>
    <w:lvl w:ilvl="1" w:tplc="CF84898A">
      <w:lvlJc w:val="left"/>
      <w:lvlText w:val=""/>
      <w:numFmt w:val="decimal"/>
    </w:lvl>
    <w:lvl w:ilvl="2" w:tplc="067AC0EE">
      <w:lvlJc w:val="left"/>
      <w:lvlText w:val=""/>
      <w:numFmt w:val="decimal"/>
    </w:lvl>
    <w:lvl w:ilvl="3" w:tplc="E5661F84">
      <w:lvlJc w:val="left"/>
      <w:lvlText w:val=""/>
      <w:numFmt w:val="decimal"/>
    </w:lvl>
    <w:lvl w:ilvl="4" w:tplc="76FAB61A">
      <w:lvlJc w:val="left"/>
      <w:lvlText w:val=""/>
      <w:numFmt w:val="decimal"/>
    </w:lvl>
    <w:lvl w:ilvl="5" w:tplc="7896A7FE">
      <w:lvlJc w:val="left"/>
      <w:lvlText w:val=""/>
      <w:numFmt w:val="decimal"/>
    </w:lvl>
    <w:lvl w:ilvl="6" w:tplc="4A68EF90">
      <w:lvlJc w:val="left"/>
      <w:lvlText w:val=""/>
      <w:numFmt w:val="decimal"/>
    </w:lvl>
    <w:lvl w:ilvl="7" w:tplc="F8E87148">
      <w:lvlJc w:val="left"/>
      <w:lvlText w:val=""/>
      <w:numFmt w:val="decimal"/>
    </w:lvl>
    <w:lvl w:ilvl="8" w:tplc="3B128AD6">
      <w:lvlJc w:val="left"/>
      <w:lvlText w:val=""/>
      <w:numFmt w:val="decimal"/>
    </w:lvl>
  </w:abstractNum>
  <w:abstractNum w:abstractNumId="3">
    <w:multiLevelType w:val="hybridMultilevel"/>
    <w:nsid w:val="6D7B5C1C"/>
    <w:lvl w:ilvl="0" w:tplc="D28831EA">
      <w:lvlJc w:val="left"/>
      <w:lvlText w:val="%1."/>
      <w:numFmt w:val="decimal"/>
      <w:pPr>
        <w:ind w:hanging="360" w:left="720"/>
      </w:pPr>
      <w:start w:val="1"/>
    </w:lvl>
    <w:lvl w:ilvl="1" w:tplc="5282BFA0">
      <w:lvlJc w:val="left"/>
      <w:lvlText w:val=""/>
      <w:numFmt w:val="decimal"/>
    </w:lvl>
    <w:lvl w:ilvl="2" w:tplc="F718DD72">
      <w:lvlJc w:val="left"/>
      <w:lvlText w:val=""/>
      <w:numFmt w:val="decimal"/>
    </w:lvl>
    <w:lvl w:ilvl="3" w:tplc="212CF300">
      <w:lvlJc w:val="left"/>
      <w:lvlText w:val=""/>
      <w:numFmt w:val="decimal"/>
    </w:lvl>
    <w:lvl w:ilvl="4" w:tplc="0E844C2E">
      <w:lvlJc w:val="left"/>
      <w:lvlText w:val=""/>
      <w:numFmt w:val="decimal"/>
    </w:lvl>
    <w:lvl w:ilvl="5" w:tplc="DF16DDCE">
      <w:lvlJc w:val="left"/>
      <w:lvlText w:val=""/>
      <w:numFmt w:val="decimal"/>
    </w:lvl>
    <w:lvl w:ilvl="6" w:tplc="E322471A">
      <w:lvlJc w:val="left"/>
      <w:lvlText w:val=""/>
      <w:numFmt w:val="decimal"/>
    </w:lvl>
    <w:lvl w:ilvl="7" w:tplc="09429402">
      <w:lvlJc w:val="left"/>
      <w:lvlText w:val=""/>
      <w:numFmt w:val="decimal"/>
    </w:lvl>
    <w:lvl w:ilvl="8" w:tplc="994A2FD0">
      <w:lvlJc w:val="left"/>
      <w:lvlText w:val=""/>
      <w:numFmt w:val="decimal"/>
    </w:lvl>
  </w:abstractNum>
  <w:num w:numId="1">
    <w:abstractNumId w:val="0"/>
    <w:lvlOverride w:ilvl="0">
      <w:startOverride w:val="1"/>
    </w:lvlOverride>
  </w:num>
  <w:num w:numId="2">
    <w:abstractNumId w:val="3"/>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Arial" w:cs="Arial"/>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e" w:default="1">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left w:w="108" w:type="dxa"/>
        <w:top w:w="0" w:type="dxa"/>
        <w:right w:w="108" w:type="dxa"/>
        <w:bottom w:w="0" w:type="dxa"/>
      </w:tblCellMar>
    </w:tblPr>
  </w:style>
  <w:style w:type="numbering" w:styleId="Nessunelenco" w:default="1">
    <w:name w:val="No List"/>
    <w:uiPriority w:val="99"/>
    <w:semiHidden/>
    <w:unhideWhenUsed/>
  </w:style>
  <w:style w:type="paragraph" w:styleId="Titolo">
    <w:name w:val="Title"/>
    <w:uiPriority w:val="10"/>
    <w:qFormat/>
    <w:rPr>
      <w:sz w:val="56"/>
      <w:szCs w:val="56"/>
    </w:rPr>
  </w:style>
  <w:style w:type="paragraph" w:styleId="Enfasigrassetto1" w:customStyle="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styleId="TestonotaapidipaginaCarattere" w:customStyle="1">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styleId="TestonotadichiusuraCarattere" w:customStyle="1">
    <w:name w:val="Testo nota di chiusura Carattere"/>
    <w:link w:val="Testonotadichiusura"/>
    <w:uiPriority w:val="99"/>
    <w:semiHidden/>
    <w:unhideWhenUsed/>
    <w:rPr>
      <w:sz w:val="20"/>
      <w:szCs w:val="20"/>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s>
</file>

<file path=word/theme/theme1.xml><?xml version="1.0" encoding="utf-8"?>
<a:theme xmlns:a="http://schemas.openxmlformats.org/drawingml/2006/main" xmlns:r="http://schemas.openxmlformats.org/officeDocument/2006/relationships" xmlns:p="http://schemas.openxmlformats.org/presentation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4</Pages>
  <Words>1347</Words>
  <Characters>7684</Characters>
  <CharactersWithSpaces>9013</CharactersWithSpaces>
  <Application>ONLYOFFICE/9.0.4.50</Application>
  <DocSecurity>0</DocSecurity>
  <Lines>64</Lines>
  <Paragraphs>18</Paragraphs>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Sbardella Marco</cp:lastModifiedBy>
  <cp:revision>2</cp:revision>
  <dcterms:created xsi:type="dcterms:W3CDTF">2026-05-28T16:32:00Z</dcterms:created>
  <dcterms:modified xsi:type="dcterms:W3CDTF">2026-05-28T16:32:00Z</dcterms:modified>
</cp:coreProperties>
</file>